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40A17DC1" w:rsidR="00CD36CF" w:rsidRDefault="008020A2" w:rsidP="00CD36CF">
      <w:pPr>
        <w:pStyle w:val="TitlePageSession"/>
      </w:pPr>
      <w:r>
        <w:t>20</w:t>
      </w:r>
      <w:r w:rsidR="0029321B">
        <w:t>2</w:t>
      </w:r>
      <w:r w:rsidR="00F72C6A">
        <w:t>3</w:t>
      </w:r>
      <w:r w:rsidR="0029321B">
        <w:t xml:space="preserve"> </w:t>
      </w:r>
      <w:r w:rsidR="000D0F37">
        <w:t>FIRST</w:t>
      </w:r>
      <w:r w:rsidR="00630955">
        <w:t xml:space="preserve"> Extraordinary</w:t>
      </w:r>
      <w:r w:rsidR="0029321B">
        <w:t xml:space="preserve"> session</w:t>
      </w:r>
    </w:p>
    <w:p w14:paraId="68836F5E" w14:textId="1E30A785" w:rsidR="00CD36CF" w:rsidRDefault="00774DC1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7300C">
            <w:t>Introduced</w:t>
          </w:r>
        </w:sdtContent>
      </w:sdt>
    </w:p>
    <w:p w14:paraId="1554684E" w14:textId="1DC7AA0D" w:rsidR="00CD36CF" w:rsidRDefault="00774DC1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1016</w:t>
          </w:r>
        </w:sdtContent>
      </w:sdt>
    </w:p>
    <w:p w14:paraId="6232352D" w14:textId="0E7042C6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7300C">
            <w:t>Senators Blair (Mr. President) and Woelfel</w:t>
          </w:r>
          <w:r w:rsidR="0017300C">
            <w:br/>
            <w:t xml:space="preserve">[By </w:t>
          </w:r>
          <w:r w:rsidR="00586202">
            <w:t>Request</w:t>
          </w:r>
          <w:r w:rsidR="0017300C">
            <w:t xml:space="preserve"> </w:t>
          </w:r>
          <w:r w:rsidR="00774DC1">
            <w:t>o</w:t>
          </w:r>
          <w:r w:rsidR="0017300C">
            <w:t xml:space="preserve">f </w:t>
          </w:r>
          <w:r w:rsidR="00774DC1">
            <w:t>t</w:t>
          </w:r>
          <w:r w:rsidR="0017300C">
            <w:t>he Executive]</w:t>
          </w:r>
        </w:sdtContent>
      </w:sdt>
    </w:p>
    <w:p w14:paraId="3B2EEC12" w14:textId="614F5E21" w:rsidR="00E831B3" w:rsidRDefault="00CD36CF" w:rsidP="002A0269">
      <w:pPr>
        <w:pStyle w:val="References"/>
      </w:pPr>
      <w:r>
        <w:t>[</w:t>
      </w:r>
      <w:r w:rsidR="00774DC1">
        <w:t xml:space="preserve">Introduced </w:t>
      </w:r>
      <w:r w:rsidR="00774DC1">
        <w:rPr>
          <w:color w:val="auto"/>
        </w:rPr>
        <w:t>August 6, 2023</w:t>
      </w:r>
      <w:r>
        <w:t>]</w:t>
      </w:r>
    </w:p>
    <w:p w14:paraId="7AB218D2" w14:textId="7D8E22D6" w:rsidR="00921BB8" w:rsidRPr="00376C20" w:rsidRDefault="009C2359" w:rsidP="0066394D">
      <w:pPr>
        <w:pStyle w:val="TitleSection"/>
        <w:rPr>
          <w:color w:val="auto"/>
        </w:rPr>
      </w:pPr>
      <w:r w:rsidRPr="009C2359">
        <w:rPr>
          <w:rFonts w:cs="Arial"/>
        </w:rPr>
        <w:lastRenderedPageBreak/>
        <w:t xml:space="preserve">A BILL </w:t>
      </w:r>
      <w:r w:rsidRPr="009C2359">
        <w:rPr>
          <w:rFonts w:cs="Arial"/>
          <w:color w:val="auto"/>
        </w:rPr>
        <w:t xml:space="preserve">supplementing and amending </w:t>
      </w:r>
      <w:r w:rsidR="009E3932" w:rsidRPr="00C5122F">
        <w:rPr>
          <w:color w:val="auto"/>
        </w:rPr>
        <w:t xml:space="preserve">Chapter </w:t>
      </w:r>
      <w:r w:rsidR="003473F1">
        <w:rPr>
          <w:color w:val="auto"/>
        </w:rPr>
        <w:t>11</w:t>
      </w:r>
      <w:r w:rsidR="009E3932" w:rsidRPr="00C5122F">
        <w:rPr>
          <w:color w:val="auto"/>
        </w:rPr>
        <w:t>, Acts of the Legislature, Regular Session, 202</w:t>
      </w:r>
      <w:r w:rsidR="00630955">
        <w:rPr>
          <w:color w:val="auto"/>
        </w:rPr>
        <w:t>3</w:t>
      </w:r>
      <w:r w:rsidR="009E3932">
        <w:rPr>
          <w:color w:val="auto"/>
        </w:rPr>
        <w:t>, known as the budget bill</w:t>
      </w:r>
      <w:r w:rsidR="00332076">
        <w:rPr>
          <w:color w:val="auto"/>
        </w:rPr>
        <w:t xml:space="preserve">, </w:t>
      </w:r>
      <w:r w:rsidR="0066394D">
        <w:rPr>
          <w:color w:val="auto"/>
        </w:rPr>
        <w:t>in Title II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Pr="009C2359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F3412F">
        <w:rPr>
          <w:rFonts w:cs="Arial"/>
          <w:color w:val="auto"/>
        </w:rPr>
        <w:t>Education</w:t>
      </w:r>
      <w:r w:rsidRPr="009C2359">
        <w:rPr>
          <w:rFonts w:cs="Arial"/>
          <w:color w:val="auto"/>
        </w:rPr>
        <w:t xml:space="preserve">, </w:t>
      </w:r>
      <w:r w:rsidR="00F3412F">
        <w:rPr>
          <w:rFonts w:cs="Arial"/>
          <w:color w:val="auto"/>
        </w:rPr>
        <w:t>State Board of Education – State Aid to Schools</w:t>
      </w:r>
      <w:r w:rsidRPr="009C2359">
        <w:rPr>
          <w:rFonts w:cs="Arial"/>
          <w:color w:val="auto"/>
        </w:rPr>
        <w:t xml:space="preserve">, fund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630955">
        <w:rPr>
          <w:rFonts w:cs="Arial"/>
          <w:color w:val="auto"/>
        </w:rPr>
        <w:t>4</w:t>
      </w:r>
      <w:r w:rsidRPr="003C263A">
        <w:rPr>
          <w:rFonts w:cs="Arial"/>
          <w:color w:val="auto"/>
        </w:rPr>
        <w:t xml:space="preserve">, organization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402</w:t>
      </w:r>
      <w:r w:rsidR="009E3932">
        <w:rPr>
          <w:rFonts w:cs="Arial"/>
          <w:color w:val="auto"/>
        </w:rPr>
        <w:t xml:space="preserve">, </w:t>
      </w:r>
      <w:r w:rsidR="009E3932">
        <w:rPr>
          <w:color w:val="auto"/>
        </w:rPr>
        <w:t xml:space="preserve">by </w:t>
      </w:r>
      <w:r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630955">
        <w:rPr>
          <w:rFonts w:cs="Arial"/>
          <w:color w:val="auto"/>
        </w:rPr>
        <w:t>4</w:t>
      </w:r>
      <w:r w:rsidR="00774DC1">
        <w:rPr>
          <w:rFonts w:cs="Arial"/>
          <w:color w:val="auto"/>
        </w:rPr>
        <w:t>,</w:t>
      </w:r>
      <w:r w:rsidR="0066394D">
        <w:rPr>
          <w:rFonts w:cs="Arial"/>
          <w:color w:val="auto"/>
        </w:rPr>
        <w:t xml:space="preserve"> by </w:t>
      </w:r>
      <w:r w:rsidR="00F3412F">
        <w:rPr>
          <w:rFonts w:cs="Arial"/>
          <w:color w:val="auto"/>
        </w:rPr>
        <w:t>increasing and decreasing items of appropriation</w:t>
      </w:r>
      <w:r w:rsidR="00825423" w:rsidRPr="00376C20">
        <w:rPr>
          <w:color w:val="auto"/>
        </w:rPr>
        <w:t>;</w:t>
      </w:r>
      <w:r w:rsidR="00311968" w:rsidRPr="00376C20">
        <w:rPr>
          <w:color w:val="auto"/>
        </w:rPr>
        <w:t xml:space="preserve"> </w:t>
      </w:r>
      <w:r w:rsidR="00D000BB" w:rsidRPr="00376C20">
        <w:rPr>
          <w:color w:val="auto"/>
        </w:rP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3E6B5C5B" w:rsidR="00E12EA1" w:rsidRDefault="00E66F89" w:rsidP="0017300C">
      <w:pPr>
        <w:pStyle w:val="EnactingSection"/>
      </w:pPr>
      <w:r>
        <w:t>That Chapter 11, Acts of the Legislature, Regular Session, 202</w:t>
      </w:r>
      <w:r w:rsidR="00630955">
        <w:t>3</w:t>
      </w:r>
      <w:r>
        <w:t>, known as the budget bill, fund 0317, fiscal year 202</w:t>
      </w:r>
      <w:r w:rsidR="00630955">
        <w:t>4</w:t>
      </w:r>
      <w:r>
        <w:t>, organization 0402 be supplemented and amended to read 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3C2B23EC" w14:textId="4D719E45" w:rsidR="00E12EA1" w:rsidRPr="003C08EA" w:rsidRDefault="00E12EA1" w:rsidP="00E12EA1">
      <w:pPr>
        <w:pStyle w:val="ChapterHeading"/>
        <w:suppressLineNumbers w:val="0"/>
        <w:rPr>
          <w:sz w:val="22"/>
        </w:rPr>
      </w:pPr>
      <w:r>
        <w:t xml:space="preserve"> </w:t>
      </w:r>
      <w:r w:rsidR="00D000BB" w:rsidRPr="003C08EA">
        <w:rPr>
          <w:sz w:val="22"/>
        </w:rPr>
        <w:t xml:space="preserve">department of </w:t>
      </w:r>
      <w:r w:rsidR="00F3412F" w:rsidRPr="003C08EA">
        <w:rPr>
          <w:sz w:val="22"/>
        </w:rPr>
        <w:t>Education</w:t>
      </w:r>
      <w:r w:rsidRPr="003C08EA">
        <w:rPr>
          <w:sz w:val="22"/>
        </w:rPr>
        <w:t xml:space="preserve"> </w:t>
      </w:r>
    </w:p>
    <w:p w14:paraId="2E1FFF3F" w14:textId="45655248" w:rsidR="00E82530" w:rsidRDefault="00F3412F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4</w:t>
      </w:r>
      <w:r w:rsidR="005112AF" w:rsidRPr="005112AF">
        <w:rPr>
          <w:i/>
        </w:rPr>
        <w:t>6</w:t>
      </w:r>
      <w:r w:rsidR="00E12EA1" w:rsidRPr="005112AF">
        <w:rPr>
          <w:i/>
        </w:rPr>
        <w:t xml:space="preserve"> </w:t>
      </w:r>
      <w:r w:rsidR="00E66F89">
        <w:rPr>
          <w:i/>
        </w:rPr>
        <w:t>-</w:t>
      </w:r>
      <w:r w:rsidR="00E12EA1" w:rsidRPr="005112AF">
        <w:rPr>
          <w:i/>
        </w:rPr>
        <w:t xml:space="preserve"> </w:t>
      </w:r>
      <w:r>
        <w:rPr>
          <w:i/>
        </w:rPr>
        <w:t xml:space="preserve">State Board of Education – </w:t>
      </w:r>
    </w:p>
    <w:p w14:paraId="032522C9" w14:textId="7E3461B3" w:rsidR="00F3412F" w:rsidRPr="005112AF" w:rsidRDefault="00F3412F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State Aid to Schools</w:t>
      </w:r>
    </w:p>
    <w:p w14:paraId="1F61A1CC" w14:textId="2FB1C50D" w:rsidR="00E12EA1" w:rsidRPr="005112AF" w:rsidRDefault="00E12EA1" w:rsidP="00E12EA1">
      <w:pPr>
        <w:pStyle w:val="SectionBody"/>
        <w:ind w:firstLine="0"/>
        <w:jc w:val="center"/>
      </w:pPr>
      <w:r w:rsidRPr="005112AF">
        <w:t>(W</w:t>
      </w:r>
      <w:r w:rsidR="003C08EA">
        <w:t>.</w:t>
      </w:r>
      <w:r w:rsidRPr="005112AF">
        <w:t>V</w:t>
      </w:r>
      <w:r w:rsidR="003C08EA">
        <w:t>.</w:t>
      </w:r>
      <w:r w:rsidRPr="005112AF">
        <w:t xml:space="preserve"> Code Chapter</w:t>
      </w:r>
      <w:r w:rsidR="00313158">
        <w:t>s</w:t>
      </w:r>
      <w:r w:rsidRPr="005112AF">
        <w:t xml:space="preserve"> </w:t>
      </w:r>
      <w:r w:rsidR="00F3412F">
        <w:t>18 and 18A)</w:t>
      </w:r>
    </w:p>
    <w:p w14:paraId="7F88C2F5" w14:textId="183CE9C6" w:rsidR="00E12EA1" w:rsidRPr="005112AF" w:rsidRDefault="00E12EA1" w:rsidP="00E12EA1">
      <w:pPr>
        <w:pStyle w:val="SectionBody"/>
        <w:ind w:firstLine="0"/>
        <w:jc w:val="center"/>
        <w:rPr>
          <w:u w:val="single"/>
        </w:rPr>
      </w:pPr>
      <w:r w:rsidRPr="005112AF">
        <w:t xml:space="preserve">Fund </w:t>
      </w:r>
      <w:r w:rsidRPr="005112AF">
        <w:rPr>
          <w:u w:val="single"/>
        </w:rPr>
        <w:t>0</w:t>
      </w:r>
      <w:r w:rsidR="00F3412F">
        <w:rPr>
          <w:u w:val="single"/>
        </w:rPr>
        <w:t>317</w:t>
      </w:r>
      <w:r w:rsidRPr="005112AF">
        <w:t xml:space="preserve"> FY </w:t>
      </w:r>
      <w:r w:rsidRPr="005112AF">
        <w:rPr>
          <w:u w:val="single"/>
        </w:rPr>
        <w:t>20</w:t>
      </w:r>
      <w:r w:rsidR="00E82530" w:rsidRPr="005112AF">
        <w:rPr>
          <w:u w:val="single"/>
        </w:rPr>
        <w:t>2</w:t>
      </w:r>
      <w:r w:rsidR="000D0F37">
        <w:rPr>
          <w:u w:val="single"/>
        </w:rPr>
        <w:t>4</w:t>
      </w:r>
      <w:r w:rsidRPr="005112AF">
        <w:t xml:space="preserve"> Org </w:t>
      </w:r>
      <w:r w:rsidR="00F3412F">
        <w:rPr>
          <w:u w:val="single"/>
        </w:rPr>
        <w:t>0402</w:t>
      </w:r>
    </w:p>
    <w:p w14:paraId="6532CCAA" w14:textId="4A400DEC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Other Current Expenses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02200</w:t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180,252,485</w:t>
      </w:r>
    </w:p>
    <w:p w14:paraId="68E27AAF" w14:textId="6F415EC2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Advanced Placement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635,238</w:t>
      </w:r>
    </w:p>
    <w:p w14:paraId="53897F1D" w14:textId="282E2533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Educators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15100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940,631,329</w:t>
      </w:r>
    </w:p>
    <w:p w14:paraId="5CDE58D2" w14:textId="3C1B5094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Service Personnel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352,275,978</w:t>
      </w:r>
    </w:p>
    <w:p w14:paraId="59024F99" w14:textId="5CABD281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Fixed Charges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112,158,500</w:t>
      </w:r>
    </w:p>
    <w:p w14:paraId="48B47C38" w14:textId="750000E6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Transportation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15400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87,405,241</w:t>
      </w:r>
    </w:p>
    <w:p w14:paraId="4F0E4FCD" w14:textId="53FA7146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Improved Instructional Programs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57,904,455</w:t>
      </w:r>
    </w:p>
    <w:p w14:paraId="7318550B" w14:textId="7FDD2C85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Student Support Services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65500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64,943,783</w:t>
      </w:r>
    </w:p>
    <w:p w14:paraId="07838494" w14:textId="76650F52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21</w:t>
      </w:r>
      <w:r w:rsidR="00F3412F" w:rsidRPr="00B420C2">
        <w:rPr>
          <w:rFonts w:eastAsia="Calibri" w:cs="Times New Roman"/>
          <w:color w:val="000000"/>
          <w:vertAlign w:val="superscript"/>
        </w:rPr>
        <w:t>st</w:t>
      </w:r>
      <w:r w:rsidR="00F3412F" w:rsidRPr="00B420C2">
        <w:rPr>
          <w:rFonts w:eastAsia="Calibri" w:cs="Times New Roman"/>
          <w:color w:val="000000"/>
        </w:rPr>
        <w:t xml:space="preserve"> Century Strategic Technology Learning Growth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38,303,676</w:t>
      </w:r>
    </w:p>
    <w:p w14:paraId="5B81E5B9" w14:textId="25B49B36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 and Leader Induction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93601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152028">
        <w:rPr>
          <w:rFonts w:eastAsia="Calibri" w:cs="Times New Roman"/>
          <w:color w:val="000000"/>
          <w:u w:val="single"/>
        </w:rPr>
        <w:t>17,338,795</w:t>
      </w:r>
    </w:p>
    <w:p w14:paraId="2156E0BF" w14:textId="3A1C0F5C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Basic Foundation Allowances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1,851,849,480</w:t>
      </w:r>
    </w:p>
    <w:p w14:paraId="1CF8C080" w14:textId="22960B01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Less Local Share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(</w:t>
      </w:r>
      <w:r w:rsidR="00152028">
        <w:rPr>
          <w:rFonts w:eastAsia="Calibri" w:cs="Times New Roman"/>
          <w:color w:val="000000"/>
        </w:rPr>
        <w:t>535,560,337</w:t>
      </w:r>
      <w:r w:rsidR="00F3412F" w:rsidRPr="00B420C2">
        <w:rPr>
          <w:rFonts w:eastAsia="Calibri" w:cs="Times New Roman"/>
          <w:color w:val="000000"/>
        </w:rPr>
        <w:t>)</w:t>
      </w:r>
    </w:p>
    <w:p w14:paraId="0DFDC26C" w14:textId="352AC16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Adjustments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  <w:t>(</w:t>
      </w:r>
      <w:r w:rsidR="00152028">
        <w:rPr>
          <w:rFonts w:eastAsia="Calibri" w:cs="Times New Roman"/>
          <w:color w:val="000000"/>
          <w:u w:val="single"/>
        </w:rPr>
        <w:t>1,679,011</w:t>
      </w:r>
      <w:r w:rsidR="00F3412F" w:rsidRPr="00B420C2">
        <w:rPr>
          <w:rFonts w:eastAsia="Calibri" w:cs="Times New Roman"/>
          <w:color w:val="000000"/>
          <w:u w:val="single"/>
        </w:rPr>
        <w:t>)</w:t>
      </w:r>
    </w:p>
    <w:p w14:paraId="5B186D7E" w14:textId="249D9CB1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Total Basic State Aid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1,314,610,132</w:t>
      </w:r>
    </w:p>
    <w:p w14:paraId="532D66D2" w14:textId="278C508C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Public Employees’ Insurance Matching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7D425C">
        <w:rPr>
          <w:rFonts w:eastAsia="Calibri" w:cs="Times New Roman"/>
          <w:color w:val="000000"/>
        </w:rPr>
        <w:t>218,605,348</w:t>
      </w:r>
    </w:p>
    <w:p w14:paraId="0FCE5D49" w14:textId="49A05044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Teachers’ Retirement System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01900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71,049,288</w:t>
      </w:r>
    </w:p>
    <w:p w14:paraId="1B01ABF1" w14:textId="28D9D35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152028"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Retirement Systems – Unfunded Liability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77500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152028">
        <w:rPr>
          <w:rFonts w:eastAsia="Calibri" w:cs="Times New Roman"/>
          <w:color w:val="000000"/>
          <w:u w:val="single"/>
        </w:rPr>
        <w:t>285,469,999</w:t>
      </w:r>
    </w:p>
    <w:p w14:paraId="2A2DFC9E" w14:textId="0C224897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152028"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B5569B">
        <w:rPr>
          <w:rFonts w:eastAsia="Calibri" w:cs="Times New Roman"/>
          <w:color w:val="000000"/>
        </w:rPr>
        <w:t xml:space="preserve">     </w:t>
      </w:r>
      <w:r w:rsidR="00F3412F" w:rsidRPr="00B420C2">
        <w:rPr>
          <w:rFonts w:eastAsia="Calibri" w:cs="Times New Roman"/>
          <w:color w:val="000000"/>
        </w:rPr>
        <w:t>Total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</w:t>
      </w:r>
      <w:r w:rsidR="007D425C">
        <w:rPr>
          <w:rFonts w:eastAsia="Calibri" w:cs="Times New Roman"/>
          <w:color w:val="000000"/>
        </w:rPr>
        <w:t>889,734,767</w:t>
      </w:r>
    </w:p>
    <w:p w14:paraId="390451D3" w14:textId="2E377FBC" w:rsidR="008B3615" w:rsidRPr="00303684" w:rsidRDefault="008B3615" w:rsidP="00F3412F">
      <w:pPr>
        <w:pStyle w:val="Note"/>
      </w:pPr>
      <w:r>
        <w:t xml:space="preserve">NOTE: The purpose of </w:t>
      </w:r>
      <w:r w:rsidR="00B5739F">
        <w:t xml:space="preserve">this </w:t>
      </w:r>
      <w:r w:rsidRPr="00913C51">
        <w:t>supplemental appropriation bill is to</w:t>
      </w:r>
      <w:r>
        <w:t xml:space="preserve"> </w:t>
      </w:r>
      <w:r w:rsidR="00B5569B">
        <w:t xml:space="preserve">supplement and </w:t>
      </w:r>
      <w:r>
        <w:t>amend item</w:t>
      </w:r>
      <w:r w:rsidR="00B5569B">
        <w:t xml:space="preserve">s </w:t>
      </w:r>
      <w:r>
        <w:t xml:space="preserve">of </w:t>
      </w:r>
      <w:r w:rsidR="007E5A7C">
        <w:t>appropriatio</w:t>
      </w:r>
      <w:r w:rsidR="000414CF">
        <w:t>n</w:t>
      </w:r>
      <w:r w:rsidR="00B5739F">
        <w:t xml:space="preserve"> </w:t>
      </w:r>
      <w:r w:rsidR="007E5A7C">
        <w:t xml:space="preserve">by </w:t>
      </w:r>
      <w:r w:rsidR="00B5569B">
        <w:t>increasing and decreasing appropriations</w:t>
      </w:r>
      <w:r w:rsidR="007E5A7C">
        <w:t xml:space="preserve"> </w:t>
      </w:r>
      <w:r w:rsidRPr="00913C51">
        <w:t>in the aforesaid account for the designated spending unit for expendi</w:t>
      </w:r>
      <w:r>
        <w:t>ture during the fiscal year 202</w:t>
      </w:r>
      <w:r w:rsidR="000D0F37">
        <w:t>4</w:t>
      </w:r>
      <w:r w:rsidRPr="00913C51">
        <w:t>.</w:t>
      </w:r>
    </w:p>
    <w:sectPr w:rsidR="008B3615" w:rsidRPr="00303684" w:rsidSect="00E12EA1">
      <w:foot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791F" w14:textId="77777777" w:rsidR="00CA01D5" w:rsidRPr="00B844FE" w:rsidRDefault="00CA01D5" w:rsidP="00B844FE">
      <w:r>
        <w:separator/>
      </w:r>
    </w:p>
  </w:endnote>
  <w:endnote w:type="continuationSeparator" w:id="0">
    <w:p w14:paraId="7BB49E04" w14:textId="77777777" w:rsidR="00CA01D5" w:rsidRPr="00B844FE" w:rsidRDefault="00CA01D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0419" w14:textId="77777777" w:rsidR="00CA01D5" w:rsidRPr="00B844FE" w:rsidRDefault="00CA01D5" w:rsidP="00B844FE">
      <w:r>
        <w:separator/>
      </w:r>
    </w:p>
  </w:footnote>
  <w:footnote w:type="continuationSeparator" w:id="0">
    <w:p w14:paraId="34ACB949" w14:textId="77777777" w:rsidR="00CA01D5" w:rsidRPr="00B844FE" w:rsidRDefault="00CA01D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53DCE4CE" w:rsidR="005112AF" w:rsidRPr="00B844FE" w:rsidRDefault="00774DC1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2A006D41" w:rsidR="005112AF" w:rsidRDefault="005112AF" w:rsidP="0017300C">
    <w:pPr>
      <w:pStyle w:val="HeaderStyle"/>
    </w:pPr>
    <w:r>
      <w:t>I</w:t>
    </w:r>
    <w:r w:rsidR="0017300C">
      <w:t>ntr SB</w:t>
    </w:r>
    <w:r w:rsidR="00774DC1">
      <w:t xml:space="preserve"> 1016</w:t>
    </w:r>
    <w:r w:rsidR="0017300C">
      <w:tab/>
    </w:r>
    <w:r w:rsidRPr="002A0269">
      <w:ptab w:relativeTo="margin" w:alignment="center" w:leader="none"/>
    </w:r>
    <w:r>
      <w:tab/>
    </w:r>
    <w:r w:rsidR="0017300C">
      <w:rPr>
        <w:rStyle w:val="HeaderStyleChar"/>
      </w:rPr>
      <w:t>202314091S 202314092H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6170456">
    <w:abstractNumId w:val="2"/>
  </w:num>
  <w:num w:numId="2" w16cid:durableId="1901161979">
    <w:abstractNumId w:val="2"/>
  </w:num>
  <w:num w:numId="3" w16cid:durableId="927273729">
    <w:abstractNumId w:val="0"/>
  </w:num>
  <w:num w:numId="4" w16cid:durableId="106791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0889"/>
    <w:rsid w:val="000414CF"/>
    <w:rsid w:val="00045C3D"/>
    <w:rsid w:val="0005447E"/>
    <w:rsid w:val="000546C2"/>
    <w:rsid w:val="00075A6F"/>
    <w:rsid w:val="00085D22"/>
    <w:rsid w:val="000A2D92"/>
    <w:rsid w:val="000C5C77"/>
    <w:rsid w:val="000D0F37"/>
    <w:rsid w:val="000E4B72"/>
    <w:rsid w:val="0010070F"/>
    <w:rsid w:val="00125951"/>
    <w:rsid w:val="001314D4"/>
    <w:rsid w:val="0014128E"/>
    <w:rsid w:val="0015112E"/>
    <w:rsid w:val="00152028"/>
    <w:rsid w:val="001552E7"/>
    <w:rsid w:val="00170E7D"/>
    <w:rsid w:val="0017300C"/>
    <w:rsid w:val="00190D3E"/>
    <w:rsid w:val="0019461C"/>
    <w:rsid w:val="001C063D"/>
    <w:rsid w:val="001C279E"/>
    <w:rsid w:val="001C7D7C"/>
    <w:rsid w:val="001D459E"/>
    <w:rsid w:val="001F58C9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303684"/>
    <w:rsid w:val="0030622E"/>
    <w:rsid w:val="00307239"/>
    <w:rsid w:val="00311968"/>
    <w:rsid w:val="00313158"/>
    <w:rsid w:val="00314854"/>
    <w:rsid w:val="00314DCA"/>
    <w:rsid w:val="00332076"/>
    <w:rsid w:val="00340DF8"/>
    <w:rsid w:val="00342622"/>
    <w:rsid w:val="003473F1"/>
    <w:rsid w:val="00356F72"/>
    <w:rsid w:val="00363A62"/>
    <w:rsid w:val="00370F81"/>
    <w:rsid w:val="00376C20"/>
    <w:rsid w:val="003A2D8B"/>
    <w:rsid w:val="003A73EB"/>
    <w:rsid w:val="003C08EA"/>
    <w:rsid w:val="003C263A"/>
    <w:rsid w:val="003F6E38"/>
    <w:rsid w:val="00403466"/>
    <w:rsid w:val="00405320"/>
    <w:rsid w:val="0042205C"/>
    <w:rsid w:val="004328BA"/>
    <w:rsid w:val="0044526E"/>
    <w:rsid w:val="004726F0"/>
    <w:rsid w:val="004742D7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4F549A"/>
    <w:rsid w:val="005112AF"/>
    <w:rsid w:val="005225AB"/>
    <w:rsid w:val="0054244E"/>
    <w:rsid w:val="00586202"/>
    <w:rsid w:val="005A5366"/>
    <w:rsid w:val="005B4460"/>
    <w:rsid w:val="005C20CE"/>
    <w:rsid w:val="006057A9"/>
    <w:rsid w:val="00610A55"/>
    <w:rsid w:val="00610BA1"/>
    <w:rsid w:val="006134C3"/>
    <w:rsid w:val="00630955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D4036"/>
    <w:rsid w:val="006D4726"/>
    <w:rsid w:val="00710AE4"/>
    <w:rsid w:val="007327CC"/>
    <w:rsid w:val="00734353"/>
    <w:rsid w:val="00774DC1"/>
    <w:rsid w:val="0078688E"/>
    <w:rsid w:val="007B0C95"/>
    <w:rsid w:val="007C12B7"/>
    <w:rsid w:val="007D425C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736AA"/>
    <w:rsid w:val="00883D7D"/>
    <w:rsid w:val="008A4601"/>
    <w:rsid w:val="008B31A9"/>
    <w:rsid w:val="008B3615"/>
    <w:rsid w:val="008D275D"/>
    <w:rsid w:val="008F66F4"/>
    <w:rsid w:val="00900D64"/>
    <w:rsid w:val="00902D21"/>
    <w:rsid w:val="009058E9"/>
    <w:rsid w:val="00913C51"/>
    <w:rsid w:val="00921BB8"/>
    <w:rsid w:val="00934769"/>
    <w:rsid w:val="00953694"/>
    <w:rsid w:val="00954257"/>
    <w:rsid w:val="00980327"/>
    <w:rsid w:val="0098489D"/>
    <w:rsid w:val="0098653C"/>
    <w:rsid w:val="009C2359"/>
    <w:rsid w:val="009E3932"/>
    <w:rsid w:val="009E40AF"/>
    <w:rsid w:val="009F1067"/>
    <w:rsid w:val="009F7205"/>
    <w:rsid w:val="00A14002"/>
    <w:rsid w:val="00A31E01"/>
    <w:rsid w:val="00A40A45"/>
    <w:rsid w:val="00A527AD"/>
    <w:rsid w:val="00A718CF"/>
    <w:rsid w:val="00A74F57"/>
    <w:rsid w:val="00AB5376"/>
    <w:rsid w:val="00AD582C"/>
    <w:rsid w:val="00AE48A0"/>
    <w:rsid w:val="00AF77FC"/>
    <w:rsid w:val="00B16F25"/>
    <w:rsid w:val="00B24422"/>
    <w:rsid w:val="00B52BD3"/>
    <w:rsid w:val="00B5569B"/>
    <w:rsid w:val="00B5739F"/>
    <w:rsid w:val="00B71035"/>
    <w:rsid w:val="00B738EB"/>
    <w:rsid w:val="00B80AC2"/>
    <w:rsid w:val="00B80C20"/>
    <w:rsid w:val="00B83F62"/>
    <w:rsid w:val="00B844FE"/>
    <w:rsid w:val="00BA3592"/>
    <w:rsid w:val="00BB39D2"/>
    <w:rsid w:val="00BB7416"/>
    <w:rsid w:val="00BC562B"/>
    <w:rsid w:val="00BD6D10"/>
    <w:rsid w:val="00BF47DD"/>
    <w:rsid w:val="00C02407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79C3"/>
    <w:rsid w:val="00C75970"/>
    <w:rsid w:val="00C85096"/>
    <w:rsid w:val="00CA01D5"/>
    <w:rsid w:val="00CB0AD5"/>
    <w:rsid w:val="00CB20EF"/>
    <w:rsid w:val="00CD12CB"/>
    <w:rsid w:val="00CD36CF"/>
    <w:rsid w:val="00CF1DCA"/>
    <w:rsid w:val="00CF57F0"/>
    <w:rsid w:val="00D000BB"/>
    <w:rsid w:val="00D534E7"/>
    <w:rsid w:val="00D579FC"/>
    <w:rsid w:val="00DA1D41"/>
    <w:rsid w:val="00DE526B"/>
    <w:rsid w:val="00DF199D"/>
    <w:rsid w:val="00E01542"/>
    <w:rsid w:val="00E03788"/>
    <w:rsid w:val="00E12EA1"/>
    <w:rsid w:val="00E365F1"/>
    <w:rsid w:val="00E45933"/>
    <w:rsid w:val="00E62F48"/>
    <w:rsid w:val="00E66F89"/>
    <w:rsid w:val="00E82530"/>
    <w:rsid w:val="00E831B3"/>
    <w:rsid w:val="00EA7EA2"/>
    <w:rsid w:val="00EB7802"/>
    <w:rsid w:val="00EC03FC"/>
    <w:rsid w:val="00EE0125"/>
    <w:rsid w:val="00EE70CB"/>
    <w:rsid w:val="00F05F4D"/>
    <w:rsid w:val="00F3412F"/>
    <w:rsid w:val="00F41CA2"/>
    <w:rsid w:val="00F62EFB"/>
    <w:rsid w:val="00F67889"/>
    <w:rsid w:val="00F72C6A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D02C1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F32734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E4E36"/>
    <w:rsid w:val="002E50D2"/>
    <w:rsid w:val="00301285"/>
    <w:rsid w:val="00365598"/>
    <w:rsid w:val="003C6434"/>
    <w:rsid w:val="00477A54"/>
    <w:rsid w:val="006061D8"/>
    <w:rsid w:val="00871A49"/>
    <w:rsid w:val="009A740F"/>
    <w:rsid w:val="00A476CF"/>
    <w:rsid w:val="00AB32FE"/>
    <w:rsid w:val="00B225E2"/>
    <w:rsid w:val="00C66561"/>
    <w:rsid w:val="00CC170D"/>
    <w:rsid w:val="00CE3655"/>
    <w:rsid w:val="00D02C15"/>
    <w:rsid w:val="00DC52EE"/>
    <w:rsid w:val="00F32734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02C15"/>
    <w:rPr>
      <w:color w:val="808080"/>
    </w:rPr>
  </w:style>
  <w:style w:type="paragraph" w:customStyle="1" w:styleId="36BD4179C61746198DCFA5CB23AD7FF8">
    <w:name w:val="36BD4179C61746198DCFA5CB23AD7FF8"/>
    <w:rsid w:val="00F3273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CCD2-0864-42B2-AE1A-99793711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3</cp:revision>
  <cp:lastPrinted>2020-02-06T17:01:00Z</cp:lastPrinted>
  <dcterms:created xsi:type="dcterms:W3CDTF">2023-08-06T15:43:00Z</dcterms:created>
  <dcterms:modified xsi:type="dcterms:W3CDTF">2023-08-06T20:37:00Z</dcterms:modified>
</cp:coreProperties>
</file>